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E922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жөнінде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</w:t>
      </w:r>
      <w:proofErr w:type="spellEnd"/>
    </w:p>
    <w:p w14:paraId="6209C29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,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лауазымы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ТАӘ]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негіздемесі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,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бекітуші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Консорциумның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,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лауазымы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ТАӘ]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негіздемесі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,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бекітетін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», ал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жоғарыда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көрсетілгендей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жеке-жеке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аталатындар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әл-ауқат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акционерлік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қоғамының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дауыс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акцияларының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үлестерінің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»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меншік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сенімгерлік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құқығымен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тиесілі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тәртібіне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жасау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негіздемесі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Қорытындылар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нөмірі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төмендегідей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кәсіпкерлік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субъектісі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табылатынын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•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шектеулер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салулар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жоқтығын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•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кәсіпкерлік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тәуекелдерін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бағалағанын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сәйкестендіргенін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  <w:t>•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темір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компаниясы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акционерлік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қоғамының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корпоративтік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сайтында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орналастырылған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темір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компаниясы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акционерлік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қоғамының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(https://railways.kz/kk/korporativtik-basaru/korporativtik-zhattar/)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мазмұнын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мұқият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зерделеп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түсінді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ететінін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".</w:t>
      </w:r>
    </w:p>
    <w:p w14:paraId="2B7B5F1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мәні</w:t>
      </w:r>
      <w:proofErr w:type="spellEnd"/>
    </w:p>
    <w:p w14:paraId="36FBEAB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967735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айтылған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ажырамас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саналады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айтқанда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тізбесі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ерекшелік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елішілік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№3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Банк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№4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қосалқы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).</w:t>
      </w:r>
    </w:p>
    <w:p w14:paraId="10C1F30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1.3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ерекшелікте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№ 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стандарттарға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жоғары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41A54F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2. 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құны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төлеу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шарттары</w:t>
      </w:r>
      <w:proofErr w:type="spellEnd"/>
    </w:p>
    <w:p w14:paraId="0139691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2.1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соммасы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(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соммасы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жазбашалау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)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[Валюта]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қажетті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қамтиды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Тәртібінде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қоспағанда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жатпайды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2821C8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арақатынасы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 1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48E551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03625E9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түпкілікті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30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6FD33D7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2.4.1 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елішілік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түпкілікті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»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Веб-портал)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);</w:t>
      </w:r>
    </w:p>
    <w:p w14:paraId="15E959A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2.4.2 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фактуралар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шот-фактура;</w:t>
      </w:r>
    </w:p>
    <w:p w14:paraId="3420467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2.4.3 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түпнұсқасы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53CEA72" w14:textId="4A3C719F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 Веб-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порталда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қалыптастыруға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ресімделген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  <w:t>Веб-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порталда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-беру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қалыптастыруға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CFB0AB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аяқталғаннан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салыстыру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5D7705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материалдарын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жабдықтарын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күштері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құралдарын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материалдар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жабдықтардың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деңгейдегі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сапасыздығы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4FC98B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баждар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т.б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айқындау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ескерілгендерден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үнемдеуден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аз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үнемдеу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азайтуды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97C3ED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2.9 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топтамасын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уақтылы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ұсынбауына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кешіктіргені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E82753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2.10 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ескере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EAD9C4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3. 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мерзімдері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шарттары</w:t>
      </w:r>
      <w:proofErr w:type="spellEnd"/>
    </w:p>
    <w:p w14:paraId="6550705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3.1 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№1, 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айқындалады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9F25D7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lastRenderedPageBreak/>
        <w:t>3.2 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 1, 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229AA1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4. 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құқықтары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міндеттері</w:t>
      </w:r>
      <w:proofErr w:type="spellEnd"/>
    </w:p>
    <w:p w14:paraId="336F9AD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5B93D31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511600E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542D9F2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елішілік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(Веб-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порталда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түпкілікті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75401B1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4.1.2.1.1 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фактуралар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шот-фактура;</w:t>
      </w:r>
    </w:p>
    <w:p w14:paraId="375D60A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4.1.2.1.2 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түпнұсқасы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452ED1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саны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4C5F860B" w14:textId="00E859CA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өтінім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құрамында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мәлімделген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білікті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мамандармен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07A62E4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санитариялық-эпидемиологиялық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салауаттылығы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0D4A7BA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өнеркәсiптiк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қауiпсiздiгi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еңбектi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салауаттылығы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көрсетiлген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iшкi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нормативтiк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сақтамауы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нәтижесiнде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ықтимал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оқиғалар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авариялар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жазатайым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оқиғалар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ластануы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үшiн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мемлекеттiк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7D76033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объектісінде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аумағында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аварияларға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жазатайым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оқиғаларға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ластануына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соғуы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соққан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ескертуге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336731F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санитариялық-эпидемиологиялық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салауаттылығы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есебінен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18F5E0C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4.1.9 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жай-күйін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санитариялық-эпидемиологиялық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салауаттылығын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тексеру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объектілерінде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аумағында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өкілдерінің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2BBCDD4E" w14:textId="6CC93FEB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lastRenderedPageBreak/>
        <w:t xml:space="preserve">4.1.10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20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жиырма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3%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4-қосымшаға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ресімделген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ақшалай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өтінімді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енгізудің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түпкілікті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тастауды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хат,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жеделхат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телефонограмма,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телетайпограмма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факс,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теңестіріледі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64-бабы 5-тармағының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алмастырмаған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тармақта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782B6D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оқытудан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мамандарға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CADA7E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Денсаулық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айқындаған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қарап-тексеруді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ауысым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куәландыруды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D0F398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қажетті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киіммен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ұжымдық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құралдарымен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C1F16D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Отандық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материалдарды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тауарларды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отандық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өндірушілерден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ҚР-да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Отандық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өндірушілер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нарығының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мониторингі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Холдингтің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дерекқорларын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отандық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өндірушілер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тізілімін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тауарлардағы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отандық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өндірушілер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қамтитын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дерекқорларын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4FBBD01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мүліктің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қажетті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іс-шаралардың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732B76D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4.1.16 3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уақтылы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кедергі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тәсілі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нұсқауларын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ықтимал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қолайсыз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657B30E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3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беру;</w:t>
      </w:r>
    </w:p>
    <w:p w14:paraId="4210189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4.1.18 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№ 5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беру;</w:t>
      </w:r>
    </w:p>
    <w:p w14:paraId="7E8CFAD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lastRenderedPageBreak/>
        <w:t xml:space="preserve">4.1.19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авторлық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лицензиялары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);</w:t>
      </w:r>
    </w:p>
    <w:p w14:paraId="017F6EE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4.1.20 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ЖСН,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жарғылық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капиталына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тіркеу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БСН,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басшылар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құрылтайшылардың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деректерін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жақын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туыстары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ата-анасы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жұбайы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ағасы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әпкесі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жекжаттары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ағасы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әпкесі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ата-анасы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жұбайының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үлестестігі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беру;</w:t>
      </w:r>
    </w:p>
    <w:p w14:paraId="10CE96A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корпоративтік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сайтында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орналастырылған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(https://railways.kz/kk/korporativtik-basaru/korporativtik-zhattar/);</w:t>
      </w:r>
    </w:p>
    <w:p w14:paraId="6076F68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басталғанға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таныстыруды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EDCD7F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9573B4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4.1.24 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құқығынсыз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өзгертпейді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жиынтығында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төрттен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астамын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28A3DB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3C6E089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44C7FC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уақтылы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65CE662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өтінім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құрамында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мәлімделген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мамандарды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мәнділермен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ауыстыруға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A31F23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2925C7C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өтінім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құрамындағы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тендер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кезеңінде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жиынтығында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¼-нен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(тендер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тәсілімен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беру.</w:t>
      </w:r>
    </w:p>
    <w:p w14:paraId="296CEB3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4.2.6 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басталғанға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адамдардың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өмірі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денсаулығына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төндіретін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өндірістік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объектілер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жабдықтар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аумақтары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танысуды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бар.</w:t>
      </w:r>
    </w:p>
    <w:p w14:paraId="5287737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lastRenderedPageBreak/>
        <w:t>4.2.7 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уақтылы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166878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456B4A2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4.3.1 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0094FE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4.3.2 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Шағымдар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оны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04C1E0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4.3.3 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329A23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4.3.4 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қойғызып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таныстыруға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адамдардың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өмірі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денсаулығына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төндіретін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өндірістік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объектілер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жабдықтар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аумақтары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F416C2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4.3.5 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BDFE3C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5731EC3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сапа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13F9FF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төмендеуімен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бөлігінен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0E8CA7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4.4.3 ҚР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елішілік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болжамды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есебін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DABAA6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уақытта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араласпай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толықтығын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санитариялық-эпидемиологиялық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саламаттылығы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тексеруге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DB5A27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санитариялық-эпидемиологиялық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саламаттылығы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бар.</w:t>
      </w:r>
    </w:p>
    <w:p w14:paraId="2C266FA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5996D50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уақытта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0A783D1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lastRenderedPageBreak/>
        <w:t>4.4.8 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мониторингті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тексеру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өкілдері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тексеру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тіркеледі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);</w:t>
      </w:r>
    </w:p>
    <w:p w14:paraId="41CBC43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4.4.9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жойылғанға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тұтастай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бөлігін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тоқтату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нұсқамамен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беру;</w:t>
      </w:r>
    </w:p>
    <w:p w14:paraId="4133424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4.4.10 ЖСН,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жарғылық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капиталына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тіркеу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БСН,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басшылар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құрылтайшылардың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деректерін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жақын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туыстары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ата-анасы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жұбайы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ағасы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әпкесі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жекжаттары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ағасы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әпкесі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ата-анасы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жұбайының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зайыбының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үлестестігі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6683796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4.4.11 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кредиторлық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берешегінен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шығындар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акцептісіз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2A3FCF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5. 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қабылдау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тәртібі</w:t>
      </w:r>
      <w:proofErr w:type="spellEnd"/>
    </w:p>
    <w:p w14:paraId="482BDB4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5.1 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аяқталғаннан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5882D4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5.2 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тексеруді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43EBC2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5.3 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процесінде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ауытқуға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берсе,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Бар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келіспеушіліктер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жойылғаннан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өкілдері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5C46A6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5.4 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B32A32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5.5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5.3-тармағында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жойылмаған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BDC924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6. 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Кепілдіктер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Сапа</w:t>
      </w:r>
    </w:p>
    <w:p w14:paraId="57E4074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6.1 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саланың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облыстары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стандарттарға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1F8213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6.2 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12 ай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71ED61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6.3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сәйкессіздік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есебінен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сәттен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(бес)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610B94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7. 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жауапкершілігі</w:t>
      </w:r>
      <w:proofErr w:type="spellEnd"/>
    </w:p>
    <w:p w14:paraId="7AA079F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974A45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жауапкершілігі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0AD292A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туристік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ұсынбаған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0,1%-ы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10%-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B51B94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өнеркәсіптік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қауіпсіздігі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еңбекті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қоршаған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санитариялық-эпидемиологиялық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салауаттылығы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орындалмаса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сәйкессіздік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0,1%-ы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10%-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93EE9F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орындалмаған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міндеттеменің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 0,1%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 10%-дан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DA2492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5.3-тармағына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0,1%,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10%-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5DE0FC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кінәсінен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(лар)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10% (он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6310034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акцияларының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үлестерінің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"ҚТЖ "ҰК"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меншік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сенімгерлік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құқығымен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тиесілі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ұйымның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берешек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т. б.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акцептісіз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кредиторлық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берешек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авансты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кредиторлық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берешек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соңғысы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7859DD3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6.3-тармағында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кемшіліктер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0,1%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10% (он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2A88191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0,1%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10% (он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423845E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7.2.9 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03DD822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7.2.10 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мүлкіне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мүлкіне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өміріне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денсаулығына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зиян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тәуекел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63D6316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7.2.11 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ерекшелікте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2-қосымша)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сапасыз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көрсетілуіне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0,2%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шығындарды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B335C6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C6D60B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тиесілі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жататын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B234EC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7.5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4.1.10-тармағында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ұсынбаған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тоқтатады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Жеткізушіні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таңдау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кезеңінде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тендерге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өтінімді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490FDA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жауапкершілігі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5960E58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7.6.1 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аванстық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орындалмаған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міндеттеменің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 0,1%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орындалмаған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міндеттеменің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 10%-дан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553879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7.6.2 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кідіртілген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0,1%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орындалмаған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міндеттеменің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10%-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086D57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7.6.3 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кідірткен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актісінің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 0,1%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актісінің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 10%-дан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FB76BD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7.6.4 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уақтылы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ұсынбаған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етілсе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AB06FB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»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Сенімді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тізбесіне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мәселелері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DB9C4D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7.8 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босатпайды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AA9665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8. 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өзгерту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бұзу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тәртібі</w:t>
      </w:r>
      <w:proofErr w:type="spellEnd"/>
    </w:p>
    <w:p w14:paraId="0FC7CB2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8.1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толықтырулар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Тәртібіне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EC9962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Жобаға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өткізілетін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мазмұнын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таңдау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Тәртібінің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тармағында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692EB4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</w:p>
    <w:p w14:paraId="1D57EB5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Азаматтық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404-бабының 2-тармағының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50ED24F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айқындалған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34AF7A2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еместігіне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4AED4DD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8.3.3.1 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Төтенше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экономикадағы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жағымсыз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құбылыстарға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қысқарған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0CD0ACC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8.3.3.2 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алқалы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атқарушы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байқау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кеңесінің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өндірістік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қажеттілік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алқалы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атқарушы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орган/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байқау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кеңесі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жоғары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органы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қатысушылардың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жиналысы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орынсыздығына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C81A03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31-бабының 1-тармағында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53ED42B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lastRenderedPageBreak/>
        <w:t>8.3.5 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іс-қимыл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5025384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кезеңінде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кодексінде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куәліктерді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қолданбай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</w:p>
    <w:p w14:paraId="3EEDC94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8.3.7 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35054F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қатарынан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BD8078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8.5 8.3, 8.4-тармақтарда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бастамашы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19-бөлімінде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кінәсінен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мекенжайының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себебінен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алынбаған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жөнелтілімін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ресімдей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жіберілуге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етілуге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9A4CB2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8.6 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мәселелері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орган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»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құрылымдық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бөлімшесі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анықтаған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ҚР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шығыстарын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212C1E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8.7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кінәсінен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шығындарды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74A7B5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9. 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авансты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)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қайтаруды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ету</w:t>
      </w:r>
      <w:proofErr w:type="spellEnd"/>
    </w:p>
    <w:p w14:paraId="5F6B5BA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9.1 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20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жиырма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4-қосымшаға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ресімделген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ақшалай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3%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сәтке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4A6F5D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9.2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көрсеткіштің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170 000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еселенген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мөлшерінен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таңдаған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банк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: - ҚР резидент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банктерінен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валютасындағы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ұзақ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кредиттік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Рейтинг) Standard&amp;Poor's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"В-"-дан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 ҚР резидент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Standard&amp;Poor's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Fitch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"В-"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Moody'sinvestorsservice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"В3"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ұйымның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(ҚР резидент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акцияларының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50% - дан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астамы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тиесілі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Standard&amp;Poor's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"ВВВ"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деңгейінен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 ҚР резидент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r w:rsidRPr="00705C9E">
        <w:rPr>
          <w:rFonts w:ascii="Times New Roman" w:hAnsi="Times New Roman" w:cs="Times New Roman"/>
          <w:sz w:val="24"/>
          <w:szCs w:val="24"/>
        </w:rPr>
        <w:lastRenderedPageBreak/>
        <w:t xml:space="preserve">Standard&amp;Poor's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рейтинг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Moody'sInvestorsService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Fitch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"Ваа2"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"ВВВ"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; -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Standard&amp;Poor's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"ВВВ"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ҚР резидент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банктерінен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 ҚР резидент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Standard&amp;Poor's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рейтинг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Moody'sInvestorsService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Fitch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"Ваа2"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"ВВВ"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тармақта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деңгейге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"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баланстық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баланстан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лимиттер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жабық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рейтинг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лимиттің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жабылғаны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тармағының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авансты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4324ED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9.3 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банк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банк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кепілдігін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906584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9.4 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авансты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аванстық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374958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9.5 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тұрақсыздық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айыбының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өсімпұлдың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Холдингтің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сенімсіз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жеткізушілерінің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тізбесіне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енгізбей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жоюға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қайтарылады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айыппұл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бетінше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бергенге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ұстамайды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Холдингтің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сенімсіз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жеткізушілерінің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тізбесіне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A15541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10. Хат-хабар</w:t>
      </w:r>
    </w:p>
    <w:p w14:paraId="4F48094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10.1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хат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алмасуды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нұсқаулықтарды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келісімдерді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бекітулерді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сертификаттарды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біреудің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шешімдерін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шығару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айтылмаса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хат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алмасудың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кідіріссіз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9993D4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10.2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хат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нөмірі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деректемелері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6D11ED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10.3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хат-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сұрау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салулар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бекітулер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нұсқаулықтар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сертификаттар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берілуі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қолма-қол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факспен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түпнұсқасы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Факс/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нұсқаны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(бес)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керек.</w:t>
      </w:r>
    </w:p>
    <w:p w14:paraId="3F98171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10.4 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Курьерлік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телекспен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жеделхатпен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факспен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неғұрлым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ертерек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алынғаны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беру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сәтінде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8BA74B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10.5 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(авиа)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бөлімшесінің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жеткізілгенін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курьерлік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мөртаңбасы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жеткізілді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0BCF2D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11. 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мерзімі</w:t>
      </w:r>
      <w:proofErr w:type="spellEnd"/>
    </w:p>
    <w:p w14:paraId="0BBC66E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11.1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жарамды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бөлігінде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аяқталғанша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жарамды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DB14F5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12. 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жағдайлары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(Форс-мажор)</w:t>
      </w:r>
    </w:p>
    <w:p w14:paraId="163E140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12.1 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табылса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жауапкершіліктен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босатылады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бөлімнің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бағынбайтын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күтпеген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сипаттағы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оқиғаны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білдіреді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оқиғалар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соғыс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табиғи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дүлей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апаттар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эпидемия, карантин, эмбарго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сияқты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шектелмейді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6930C6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12.2 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форс-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мажордың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болжамды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сәттен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(бес)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себептері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фактісін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құзыретті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324FF70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12.3 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уақытқа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қалдырылады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0C3B98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12.4 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Жоғарыда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сақталмаған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ешқандай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қаралмайтынына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тастауға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шектеуге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болмайтынына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FB24E6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12.5 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аяқталғаннан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әсеріне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ұшыраған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(бес)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болжанатын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тоқтатылғаны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676D31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12.6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еңсерілмейтін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мән-жайлары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астам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уақытқа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созылса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болжамды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 (он бес)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F1F8E0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lastRenderedPageBreak/>
        <w:t>13. 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Дауларды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шешу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тәртібі</w:t>
      </w:r>
      <w:proofErr w:type="spellEnd"/>
    </w:p>
    <w:p w14:paraId="4898B44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13.1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даулар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келіспеушіліктер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келіссөздер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шешіледі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548ECC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13.2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келіссөздердің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нәтижесінде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мәселені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сот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тәртібімен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: Астана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соттарында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- 30 000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көрсеткіш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; 30 000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көрсеткіштен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мүліктік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сипаттағы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арыздар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соттарда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мәселелер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9B1224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13.3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нормаларымен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CD0E21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14. 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іс-қимыл</w:t>
      </w:r>
      <w:proofErr w:type="spellEnd"/>
    </w:p>
    <w:p w14:paraId="747FCBAD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14.1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артықшылықтарды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іс-әрекеттеріне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шешімдеріне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ықпал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ақшалай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қаражатты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ұсынбайды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бермейді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5B594F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14.2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пара беру/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коммерциялық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параға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сараланатын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іс-әрекеттерді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Қылмыстық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кірістерді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заңдастыруға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жылыстатуға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іс-қимыл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халықаралық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іс-әрекеттерді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асырмайды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220E84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14.3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әрқайсысы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ақшалай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сыйлықтарды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беру,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тәуелділікке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оны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ынталандыратын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іс-әрекеттерді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бағытталған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тәсілдермен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ынталандырудан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37CB5A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250AB4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контрагенттің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пара беру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коммерциялық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параға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сияқты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сараланатын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әрекеттерінен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Қылмыстық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кірістерді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заңдастыруға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іс-қимыл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халықаралық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әрекеттерінен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көрінетін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ережелерінің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бұзылғанын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екенін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болжауға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фактілерге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сілтеме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материалдарды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BC849D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14.6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рәсімдердің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жүргізілуін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таниды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тартылуы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контрагенттермен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іскерлік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қатынастар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тәуекелін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азайту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күш-жігер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жұмсайды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бір-біріне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жәрдем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DC6998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тарту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тәуекелдерін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болдырмау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комплаенс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тексерулер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рәсімдерді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6FC754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"ҚТЖ" ҰК" АҚ –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іс-қимыл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саясатының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Саясат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қағидаттары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саясатымен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танысқанын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халықаралық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мемлекеттердің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іс-қимыл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актілерінде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жасамауын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E2C2F8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14.9 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пара беру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қасақана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коммерциялық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пара беру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мүдделеріне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құндылықтар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сыйлықтар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мүліктік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физикалық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моральдық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сипаттағы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мүліктік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болу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бизнесін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мүліктік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игіліктер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артықшылықтар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).</w:t>
      </w:r>
    </w:p>
    <w:p w14:paraId="00296A14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14.10 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болжам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қылмыс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қызметкерлеріне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қылмыстық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қозғау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фактілерді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нұсқай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алмағанын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еместігін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орындамауға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FD72EB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14.11 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сыбайлас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жемқорлық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жасағаны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ережелерін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017E3331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15. 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Құпиялылық</w:t>
      </w:r>
      <w:proofErr w:type="spellEnd"/>
    </w:p>
    <w:p w14:paraId="617E8A4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15.1 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қою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мазмұны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еместігіне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органдары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ұйымдарының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порталында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жүйелерінде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қолжетімді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екендігіне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білдіреді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қоспағанда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алдын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келісімінсіз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абзацы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мәселелерді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практикалық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мүддесінде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ұйғарылған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қолданылмайды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E8AED4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15.2 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»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шектелмей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контрагент-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хаттамаларын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Самұрық-Қазына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» АҚ-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ақпараттық-талдау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жүйесіне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үзінді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көшірмелер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деректемелері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детальдары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ашуға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екендігімен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2BE9AC8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15.3 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әрқайсысы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барысында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ешқандай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тәсілмен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құқықтық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өкілеттіктер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жағдайлардан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15.1-тармағына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айқындалатын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15.4-тармағында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етпеуге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ескертілмесе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шегінде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тоқтатылғаннан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(бес)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жыл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544D582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15.4 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әрқайсысы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жөнелтуге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өңдеуге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тағайындауға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мекенжайын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жауапты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жеткізгіштердегі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файлдарын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қағаз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жеткізгіштердегі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қорғау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CBF907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15.5 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әрқайсысы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15.1, 15.3, 15.4-тармақтарын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құпия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соңғысының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жария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залалдарды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көлемде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F60681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16. 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Санкциялық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ескерту</w:t>
      </w:r>
      <w:proofErr w:type="spellEnd"/>
    </w:p>
    <w:p w14:paraId="5086CC2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16.1 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талаптарымен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кепілдіктері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адалдықпен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сүйене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(а)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үлестес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акционерлері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министрлігінің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активтерді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(Office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Foreign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Assets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Control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U.S. Department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Treasury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Еуропалық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одақтың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Ұлыбританияның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SDN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тізімдерінде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Specially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Designated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Nationals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Blocked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азаматтар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бұғатталған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CAPTA (List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Foreign Financial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Correspondent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Payable-Through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корреспонденттік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шотты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өтпелі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ашуға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бірнеше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қатаң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институттарының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NS-MBS (Non-SDN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Menu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-Based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– SDN-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</w:t>
      </w:r>
      <w:r w:rsidRPr="00705C9E">
        <w:rPr>
          <w:rFonts w:ascii="Times New Roman" w:hAnsi="Times New Roman" w:cs="Times New Roman"/>
          <w:sz w:val="24"/>
          <w:szCs w:val="24"/>
        </w:rPr>
        <w:lastRenderedPageBreak/>
        <w:t>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аумақтан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енгізілмегеніне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(а)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тармақшасында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соқпайды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;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(b)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пайдаланылатын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меншікті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корреспонденттік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министрлігінің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активтерді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(Office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Foreign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Assets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Control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U. S. Department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Treasury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активтерді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тоқтату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ЕО-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объектілері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адамдардың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ұйымдардың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жиынтық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тізбесіне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Consolidated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groups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EU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freeze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prohibition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make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funds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Ұлыбританиядағы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басқарманың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объектілерінің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жиынтық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Consolidated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targets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Office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Financial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Implementations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UK)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 SDN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Specially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Designated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Nationals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Blocked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азаматтар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бұғатталған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CAPTA (List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Foreign Financial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Correspondent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Payable-Through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шетелдіктердің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корреспонденттік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өтпелі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төленетін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ашатын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институттары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бірнеше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қатаң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бағынады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NS-MBS (Non-SDN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Menu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-Based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– SDN-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банктерде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институттарында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(c)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қоятын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(лар)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министрлігінің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активтерді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бақылау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басқармасы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(Office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Foreign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Assets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Control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U. S. Department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Treasury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басқаратын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Еуропалық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одақтың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Ұлыбританияның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 SDN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Specially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Designated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Nationals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Blocked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арнайы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бөлінген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азаматтар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бұғатталған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CAPTA (List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Foreign Financial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Correspondent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Payable-Through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корреспонденттік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шотты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өтпелі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ашуға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бірнеше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қатаң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бағынатын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шетелдік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институттарының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NS-MBS (Non-SDN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Menu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-Based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Sanctions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List – SDN-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аумақтан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әрекеті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тізіміне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енгізілмеген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E52765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16.2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анық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дәл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болмаса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талабын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10 (он)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кепілдігінің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дәйексіздігі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дәл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нәтижесінде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шығындарды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өтеуге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C92CBB6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16.3 Егер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Акт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қабылданса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қолданыстағы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енгізілсе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юрисдикцияның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құзыретті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ресми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түсіндірмесіне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шешіміне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Актінің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аясы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кеңейсе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: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(a)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негізделген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қорытынды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етпеуі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айтарлықтай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қиындатуы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(b)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қаржыландыру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шығындарға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қорытындысы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ұзақ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уақыт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соқтырған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соқтыруы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(c)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бұзушылыққа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өнімді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қызметті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тоқтатуға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әкелуі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br/>
        <w:t xml:space="preserve">(d)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елеулі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кредиттік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қамтылған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сақтау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айтарлықтай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кедергі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ковенанттарын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соғады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</w:t>
      </w:r>
      <w:r w:rsidRPr="00705C9E">
        <w:rPr>
          <w:rFonts w:ascii="Times New Roman" w:hAnsi="Times New Roman" w:cs="Times New Roman"/>
          <w:sz w:val="24"/>
          <w:szCs w:val="24"/>
        </w:rPr>
        <w:br/>
        <w:t xml:space="preserve">(e)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кредиттік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төмендеуіне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әкеп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соқтырды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рейтингтік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агенттік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ықтималдығы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қабылданған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сәттен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бапта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көзделген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аталады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ресми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әсері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69DD25E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16.4 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ұсынылған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ықтимал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әсеріне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ұстанымдарын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талқылау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енгізуді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юрисдикцияның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құзыретті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органынан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рұқсаттар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лицензиялар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алғанда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келіссөздер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теріс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әсерін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болғызбау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ықтимал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төмендету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ықтимал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лер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келіссөздер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өткізеді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F9C446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16.5 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келіссөздердің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нәтижелері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қолайлы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шешімге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өздері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шараларды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мерзім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күш-жігер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жұмсайды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бұзылуын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қолдануын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болғызбауға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іске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асырылуы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18F8FE9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16.6 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келіссөздердің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бірінші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өткізілгеннен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жеткізбеген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уақытта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туындаған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Тыйым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салынған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жеткізбеушілік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жеткізбеушілік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Келісімге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жеткізілмегені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жіберілген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біржақты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тартуға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тікелей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жанама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шығындардың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орнын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толтыруды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құқылы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234C5C5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16.7 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жоғарыда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келтірілген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ережелерді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шектемей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долларымен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иной валюте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15.8-баптың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ережелері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себебінен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пікірі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баламалы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валютада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Санкциялардың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салдарын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болдырмауға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мүмкіндік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басым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тәртіппен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lastRenderedPageBreak/>
        <w:t>қолдануға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жатады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15.5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15.6-тармақтардың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ережелері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қолдануға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жатпайды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37E91B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16.8 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халықаралық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банк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жүйесіндегі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белгісіздікті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назарға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ала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сәтте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долларымен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не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валютаны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көрсету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өзара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орынсыз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растайды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Орындаушыны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хабардар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баламалы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валютаны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келіскен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валютада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(«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Баламалы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валюта»)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осындай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банктік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шотының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деректемелерін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нысанда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келісілген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валютада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қажетті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ақылға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қонымды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жәрдем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көрсетуге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міндеттенеді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69A9618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16.9 Егер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өзгеше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жүргізілуі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көрсетілсе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айқындалса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15.8-тармақ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теңгемен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рубльмен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валютамен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қолданылған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валюталардың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бағамдары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интернет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сайтында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(www.nationalbank.kz)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бағам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келіскен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елдің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баламалы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Банкі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жарияламаса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мұндай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төлемдерді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долларымен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мақсаттары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сомалар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күніне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айырысу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байланыстырылған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Банкінің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бағамы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АҚШ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долларына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қайта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есептелетін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51E7976C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17. 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шарттар</w:t>
      </w:r>
      <w:proofErr w:type="spellEnd"/>
    </w:p>
    <w:p w14:paraId="3CA8E67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17.1 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бірдей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күші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бар 2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екі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данада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әрқайсысы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данадан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алмасатын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хат-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хабарлар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құжаттама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шарттарға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келуі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керек.</w:t>
      </w:r>
    </w:p>
    <w:p w14:paraId="369E7A70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 xml:space="preserve">17.2 Осы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Шартқа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қосымшалар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өзгерістер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толықтырулар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оларды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жазбаша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тұлғалары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ажырамас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бөліктері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табылады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78CBE34A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17.3 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жасалды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реттеледі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.</w:t>
      </w:r>
    </w:p>
    <w:p w14:paraId="41F51305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18. Шот-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фактураның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деректемелері</w:t>
      </w:r>
      <w:proofErr w:type="spellEnd"/>
    </w:p>
    <w:p w14:paraId="71E76B99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18.1 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) -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темір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компаниясы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Акционерлік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қоғамы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010000, Астана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Д. А.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Қонаев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көшесі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>, 6 БСН 020 540 003 431 ЖСК KZ 376010111000018002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АҚ Астана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өңірлік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филиалында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БСК HSBKKZKX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5617C30B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sz w:val="24"/>
          <w:szCs w:val="24"/>
        </w:rPr>
        <w:t>18.2 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Жүк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алушы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-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темір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компаниясы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акционерлік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қоғамының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филиалы -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Теміржол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көлігі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персоналын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бағалау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дамыту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орталығы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010000, Астана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қаласы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Алматы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Кендірлі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көшесі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, 9/1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ғимарат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телефон: +7 (7172) 93-42-00 ЖСК KZ 846010111000026565 "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Халық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банкі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" АҚ АРФ"БСН 060241018461 БСК HSBКKZKX </w:t>
      </w:r>
      <w:proofErr w:type="spellStart"/>
      <w:r w:rsidRPr="00705C9E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705C9E"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37ECD5C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19. 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Тараптардың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мекенжайлары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банк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деректемелері</w:t>
      </w:r>
      <w:proofErr w:type="spellEnd"/>
    </w:p>
    <w:p w14:paraId="13D1F30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lastRenderedPageBreak/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мекенжайы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  <w:t>БСН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БСН]</w:t>
      </w:r>
      <w:r w:rsidRPr="00705C9E">
        <w:rPr>
          <w:rFonts w:ascii="Times New Roman" w:hAnsi="Times New Roman" w:cs="Times New Roman"/>
          <w:sz w:val="24"/>
          <w:szCs w:val="24"/>
        </w:rPr>
        <w:br/>
        <w:t>БСК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БСК]</w:t>
      </w:r>
      <w:r w:rsidRPr="00705C9E">
        <w:rPr>
          <w:rFonts w:ascii="Times New Roman" w:hAnsi="Times New Roman" w:cs="Times New Roman"/>
          <w:sz w:val="24"/>
          <w:szCs w:val="24"/>
        </w:rPr>
        <w:br/>
        <w:t>ЖСК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ЖСК]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банктің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  <w:t>Тел.: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телефоны]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лауазымы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ТАӘ]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деректемелері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Тапсырыс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растайтын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тұлғалардың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лауазымы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ТАӘ]</w:t>
      </w:r>
    </w:p>
    <w:p w14:paraId="78665007" w14:textId="77777777" w:rsidR="00705C9E" w:rsidRPr="00705C9E" w:rsidRDefault="00705C9E" w:rsidP="00705C9E">
      <w:pPr>
        <w:jc w:val="both"/>
        <w:rPr>
          <w:rFonts w:ascii="Times New Roman" w:hAnsi="Times New Roman" w:cs="Times New Roman"/>
          <w:sz w:val="24"/>
          <w:szCs w:val="24"/>
        </w:rPr>
      </w:pP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Консорциумның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толық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заңды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мекенжайы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  <w:t>БСН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БСН]</w:t>
      </w:r>
      <w:r w:rsidRPr="00705C9E">
        <w:rPr>
          <w:rFonts w:ascii="Times New Roman" w:hAnsi="Times New Roman" w:cs="Times New Roman"/>
          <w:sz w:val="24"/>
          <w:szCs w:val="24"/>
        </w:rPr>
        <w:br/>
        <w:t>БСК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БСК]</w:t>
      </w:r>
      <w:r w:rsidRPr="00705C9E">
        <w:rPr>
          <w:rFonts w:ascii="Times New Roman" w:hAnsi="Times New Roman" w:cs="Times New Roman"/>
          <w:sz w:val="24"/>
          <w:szCs w:val="24"/>
        </w:rPr>
        <w:br/>
        <w:t>ЖСК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ЖСК]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банкінің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атауы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  <w:t>Тел.: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телефоны]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басшысының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лауазымы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t> </w:t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басшының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ТАӘ]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деректемелері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705C9E">
        <w:rPr>
          <w:rFonts w:ascii="Times New Roman" w:hAnsi="Times New Roman" w:cs="Times New Roman"/>
          <w:sz w:val="24"/>
          <w:szCs w:val="24"/>
        </w:rPr>
        <w:br/>
      </w:r>
      <w:r w:rsidRPr="00705C9E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Өнім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берушінің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бекітетін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тұлғаларының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лауазымы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және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5C9E">
        <w:rPr>
          <w:rFonts w:ascii="Times New Roman" w:hAnsi="Times New Roman" w:cs="Times New Roman"/>
          <w:b/>
          <w:bCs/>
          <w:sz w:val="24"/>
          <w:szCs w:val="24"/>
        </w:rPr>
        <w:t>аты-жөні</w:t>
      </w:r>
      <w:proofErr w:type="spellEnd"/>
      <w:r w:rsidRPr="00705C9E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14:paraId="0819049F" w14:textId="77777777" w:rsidR="00705C9E" w:rsidRPr="00705C9E" w:rsidRDefault="00705C9E" w:rsidP="00705C9E">
      <w:pPr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705C9E">
        <w:rPr>
          <w:rFonts w:ascii="Times New Roman" w:hAnsi="Times New Roman" w:cs="Times New Roman"/>
          <w:vanish/>
          <w:sz w:val="24"/>
          <w:szCs w:val="24"/>
        </w:rPr>
        <w:t>Начало формы</w:t>
      </w:r>
    </w:p>
    <w:p w14:paraId="4C8A8553" w14:textId="77777777" w:rsidR="00705C9E" w:rsidRPr="00705C9E" w:rsidRDefault="00705C9E" w:rsidP="00705C9E">
      <w:pPr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705C9E">
        <w:rPr>
          <w:rFonts w:ascii="Times New Roman" w:hAnsi="Times New Roman" w:cs="Times New Roman"/>
          <w:vanish/>
          <w:sz w:val="24"/>
          <w:szCs w:val="24"/>
        </w:rPr>
        <w:t>Конец формы</w:t>
      </w:r>
    </w:p>
    <w:p w14:paraId="12C5517E" w14:textId="77777777" w:rsidR="00E03178" w:rsidRPr="00705C9E" w:rsidRDefault="00E03178" w:rsidP="00705C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3178" w:rsidRPr="0070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9E"/>
    <w:rsid w:val="00211EDA"/>
    <w:rsid w:val="00280108"/>
    <w:rsid w:val="00350A61"/>
    <w:rsid w:val="00705C9E"/>
    <w:rsid w:val="00AC1309"/>
    <w:rsid w:val="00C3628A"/>
    <w:rsid w:val="00DE4E99"/>
    <w:rsid w:val="00E03178"/>
    <w:rsid w:val="00E10C7D"/>
    <w:rsid w:val="00FE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6988"/>
  <w15:chartTrackingRefBased/>
  <w15:docId w15:val="{DCE494F0-5AD2-4443-AB1F-ADE493A7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5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5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5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5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5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5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5C9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5C9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5C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5C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5C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5C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5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5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5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5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5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5C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05C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05C9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05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05C9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05C9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05C9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05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396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20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2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66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1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75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8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0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4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0107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1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69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4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76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02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8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81342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3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2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89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9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64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785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696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86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3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8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62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8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56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1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9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87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6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7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4885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83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49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7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2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5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59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8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9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6885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01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6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701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29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252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1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31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20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106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2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82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7213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2603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4367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05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33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63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04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62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76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5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31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05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75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6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61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3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1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7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02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90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92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28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27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97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7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54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635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36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803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1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066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800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95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88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05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78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9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9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67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23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9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08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586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18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6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2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1639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62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16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38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86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55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33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70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16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14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27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73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258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95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41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574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70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4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385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826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50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362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07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63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37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70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10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12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03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8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23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636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33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92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42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56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8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2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64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0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89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7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71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3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04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8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94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14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82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0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1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972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04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8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463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4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0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0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984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44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7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38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02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15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3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1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53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115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1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05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82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64190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038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93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7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81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09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07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3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02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0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75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972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668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03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3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59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16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13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28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95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662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278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3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7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52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9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54504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226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32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43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2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96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65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91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0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39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90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32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2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348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9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89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72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7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2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1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8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1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65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52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79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904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249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004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984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744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42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293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5140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9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92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81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03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1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56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13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01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81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0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29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9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98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281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9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2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60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1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98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6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66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1713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7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55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2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1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79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8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0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7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470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58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41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5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5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0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61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4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22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5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0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4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66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5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9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696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3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83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0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49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27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05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8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1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22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4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70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1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8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5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60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3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90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46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1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0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61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7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0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30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2237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3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5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86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9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96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63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9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8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925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5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1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87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9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12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2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4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3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43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2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71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4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54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2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13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2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6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274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4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91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64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97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63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0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35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4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8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742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792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37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93620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275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2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496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83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30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682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9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44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70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5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80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18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0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3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0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95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010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09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1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9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1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58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02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42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37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76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8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5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82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4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4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97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7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1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752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2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1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658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2756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52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88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469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60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613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931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106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524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83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642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5878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19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9195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843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67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7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8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186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74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79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7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44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17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48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68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75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95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18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81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33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09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03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76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75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0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63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66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49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0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63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24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15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52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6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42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7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40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73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10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2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89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66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97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20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72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5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7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304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0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28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37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2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37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5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73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46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4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79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2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52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1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463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96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120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18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274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88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08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62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123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05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70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42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7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578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31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0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65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92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2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36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36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59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9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10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5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81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33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113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57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26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24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91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1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5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12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34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50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10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7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199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8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6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6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7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92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9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879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27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03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0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4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38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7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549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8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1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05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2724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43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32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29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01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76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16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98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93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63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10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5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32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07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6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75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7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24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585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72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8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65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33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727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8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64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8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0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28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194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2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1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65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8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2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18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29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1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90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6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98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570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36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2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587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77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14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57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919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58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29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19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295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2152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83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784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3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45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2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18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6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26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468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9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9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86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7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30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5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63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1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27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43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04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6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19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6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2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112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7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8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66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76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96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2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3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0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2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9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6074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6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1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9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8859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61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50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93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5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54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5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00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380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11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88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1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51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8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1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244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50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66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2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29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8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5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23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00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8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0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75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4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2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62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46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9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1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262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95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4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8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25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3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9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352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1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6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04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8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34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1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1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14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5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46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6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83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4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3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3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3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1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19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7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34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522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2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9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600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5155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2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3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1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8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380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2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2164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8828</Words>
  <Characters>50322</Characters>
  <Application>Microsoft Office Word</Application>
  <DocSecurity>0</DocSecurity>
  <Lines>419</Lines>
  <Paragraphs>118</Paragraphs>
  <ScaleCrop>false</ScaleCrop>
  <Company/>
  <LinksUpToDate>false</LinksUpToDate>
  <CharactersWithSpaces>59032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 С Санатов</dc:creator>
  <cp:keywords/>
  <dc:description/>
  <cp:lastModifiedBy>Асыл С Санатов</cp:lastModifiedBy>
  <cp:revision>8</cp:revision>
  <dcterms:created xsi:type="dcterms:W3CDTF">2025-04-25T06:30:00Z</dcterms:created>
  <dcterms:modified xsi:type="dcterms:W3CDTF">2025-04-25T06:35:00Z</dcterms:modified>
</cp:coreProperties>
</file>